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0" w:lineRule="auto"/>
        <w:ind w:right="-460"/>
        <w:contextualSpacing w:val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33333"/>
          <w:sz w:val="24"/>
          <w:szCs w:val="24"/>
          <w:rtl w:val="0"/>
        </w:rPr>
        <w:t xml:space="preserve">План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мероприятий по улучшению качества образовательной деятельности</w:t>
      </w:r>
    </w:p>
    <w:p w:rsidR="00000000" w:rsidDel="00000000" w:rsidP="00000000" w:rsidRDefault="00000000" w:rsidRPr="00000000">
      <w:pPr>
        <w:spacing w:after="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муниципального бюджетного общеобразовательного учреждения  </w:t>
      </w:r>
    </w:p>
    <w:p w:rsidR="00000000" w:rsidDel="00000000" w:rsidP="00000000" w:rsidRDefault="00000000" w:rsidRPr="00000000">
      <w:pPr>
        <w:spacing w:after="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«Средняя общеобразовательная школа №45 с углубленным изучением отдельных предметов»</w:t>
      </w:r>
    </w:p>
    <w:p w:rsidR="00000000" w:rsidDel="00000000" w:rsidP="00000000" w:rsidRDefault="00000000" w:rsidRPr="00000000">
      <w:pPr>
        <w:spacing w:after="0" w:line="276" w:lineRule="auto"/>
        <w:contextualSpacing w:val="0"/>
        <w:jc w:val="center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>
      <w:pPr>
        <w:spacing w:after="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4569.795275590554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8.0003742106494"/>
        <w:gridCol w:w="4399.7896624308105"/>
        <w:gridCol w:w="1211.7453496530757"/>
        <w:gridCol w:w="1514.6816870663447"/>
        <w:gridCol w:w="2957.2356747485774"/>
        <w:gridCol w:w="1644.5115459577455"/>
        <w:gridCol w:w="2163.8309815233492"/>
        <w:tblGridChange w:id="0">
          <w:tblGrid>
            <w:gridCol w:w="678.0003742106494"/>
            <w:gridCol w:w="4399.7896624308105"/>
            <w:gridCol w:w="1211.7453496530757"/>
            <w:gridCol w:w="1514.6816870663447"/>
            <w:gridCol w:w="2957.2356747485774"/>
            <w:gridCol w:w="1644.5115459577455"/>
            <w:gridCol w:w="2163.8309815233492"/>
          </w:tblGrid>
        </w:tblGridChange>
      </w:tblGrid>
      <w:tr>
        <w:trPr>
          <w:trHeight w:val="740" w:hRule="atLeast"/>
        </w:trPr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 п/п</w:t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Показатели независимой оценки качества работы организации</w:t>
            </w:r>
          </w:p>
        </w:tc>
        <w:tc>
          <w:tcPr>
            <w:gridSpan w:val="2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Значение показателя</w:t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Мероприятия, направленные на повышение качества работы</w:t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Срок исполнения</w:t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Источник финансирования</w:t>
            </w:r>
          </w:p>
        </w:tc>
      </w:tr>
      <w:tr>
        <w:trPr>
          <w:trHeight w:val="980" w:hRule="atLeast"/>
        </w:trPr>
        <w:tc>
          <w:tcPr>
            <w:vMerge w:val="continue"/>
            <w:tcBorders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contextualSpacing w:val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Факти-ческое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Макси-мально возможное</w:t>
            </w:r>
          </w:p>
        </w:tc>
        <w:tc>
          <w:tcPr>
            <w:vMerge w:val="continue"/>
            <w:tcBorders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contextualSpacing w:val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gridSpan w:val="7"/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 Открытость и доступность информации об организации</w:t>
            </w:r>
          </w:p>
        </w:tc>
      </w:tr>
      <w:tr>
        <w:trPr>
          <w:trHeight w:val="230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1.1.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Полнота и актуальность информации об организации, осуществляющей образовательную деятельность (далее - организация), и ее деятельности, размещенной на официальном сайте организации в информационно-телекоммуникационной сети "Интернет" (далее - сеть Интернет) (для государственных (муниципальных) организаций - информации, размещено в том числе на официальном сайте Интернет www.bus.gov.ru)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1.2.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168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1.3.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146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1.4.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500" w:hRule="atLeast"/>
        </w:trPr>
        <w:tc>
          <w:tcPr>
            <w:gridSpan w:val="7"/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II. Комфортность условий и доступность их получения</w:t>
            </w:r>
          </w:p>
        </w:tc>
      </w:tr>
      <w:tr>
        <w:trPr>
          <w:trHeight w:val="62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Материально-техническое и информационное обеспечение организации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9,0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 31.12.2018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 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необходимых условий для охраны и укрепления здоровья, организации питания обучающихся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 </w:t>
            </w:r>
          </w:p>
        </w:tc>
      </w:tr>
      <w:tr>
        <w:trPr>
          <w:trHeight w:val="62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Условия для индивидуальной работы с обучающимися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62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дополнительных образовательных программ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8,0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учебного года и каникулярных периодов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 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2.5.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возможности оказания психолого-педагогической, медицинской и социальной помощи обучающимся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2.6.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6,0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1.В школе  организована методическая работа по подготовке педагогов школы к работе с детьми с ОВЗ и инвалидов: организация школьных мероприятий, участие в муниципальных семинарах и конференциях по данной тематике в качестве слушателей.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2. Ведется разработка нормативно-правовой  документации.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3. Организовано обучение по индивидуальным учебным планам для детей, находящихся по состоянию здоровья дома.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4. 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Требуется организовать инфраструктуру-кнопку вызова, напольную индикацию.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течение года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</w:t>
            </w:r>
          </w:p>
        </w:tc>
      </w:tr>
      <w:tr>
        <w:trPr>
          <w:trHeight w:val="188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.2.7.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Наличие возможности развития творческих способностей и интересов воспитанников, включая их участие в конкурсах и олимпиадах (в том числе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в других массовых мероприятиях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7,5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1.Организована работа по ежегодному участию  обучающихся школы в олимпиадах, конкурсах, научно-практических конференциях различного уровня.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 В школе функционируют следующие объединения по интересам: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Начальное техническое моделирование  «Умелые руки»</w:t>
              <w:br w:type="textWrapping"/>
              <w:t xml:space="preserve">Ансамбль народного танца  «Непоседы»</w:t>
              <w:br w:type="textWrapping"/>
              <w:t xml:space="preserve">«Школа юного исследователя».</w:t>
              <w:br w:type="textWrapping"/>
              <w:t xml:space="preserve">Вокальная студия «Виктория»</w:t>
              <w:br w:type="textWrapping"/>
              <w:t xml:space="preserve">«Учим английский»</w:t>
              <w:br w:type="textWrapping"/>
              <w:t xml:space="preserve"> «Радуга добрых дел»</w:t>
              <w:br w:type="textWrapping"/>
              <w:t xml:space="preserve">«Он-лайн лингвист»</w:t>
              <w:br w:type="textWrapping"/>
              <w:t xml:space="preserve">Баскетбол</w:t>
              <w:br w:type="textWrapping"/>
              <w:t xml:space="preserve">Туристический клуб «Пилигрим»</w:t>
              <w:br w:type="textWrapping"/>
              <w:t xml:space="preserve">ЮИД</w:t>
              <w:br w:type="textWrapping"/>
              <w:t xml:space="preserve">«Театральная мастерская» </w:t>
              <w:br w:type="textWrapping"/>
              <w:t xml:space="preserve">«Успех в твоих руках»</w:t>
              <w:br w:type="textWrapping"/>
              <w:t xml:space="preserve">«Традиции родного края»</w:t>
              <w:br w:type="textWrapping"/>
              <w:t xml:space="preserve">«Союз Наследников Татарстана»</w:t>
              <w:br w:type="textWrapping"/>
              <w:t xml:space="preserve">ОППН </w:t>
              <w:br w:type="textWrapping"/>
              <w:t xml:space="preserve">SMS-дети </w:t>
              <w:br w:type="textWrapping"/>
              <w:t xml:space="preserve">Семьеведение </w:t>
            </w:r>
          </w:p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 Ежегодно обучающиеся школы принимают участие в спортивных мероприятиях (баскетбол, волейбол, Спартакиады, лыжные гонки и т.д.).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постоянно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 </w:t>
            </w:r>
          </w:p>
        </w:tc>
      </w:tr>
      <w:tr>
        <w:trPr>
          <w:trHeight w:val="500" w:hRule="atLeast"/>
        </w:trPr>
        <w:tc>
          <w:tcPr>
            <w:gridSpan w:val="7"/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III. Доброжелательность, вежливость и компетентность работников</w:t>
            </w:r>
          </w:p>
        </w:tc>
      </w:tr>
      <w:tr>
        <w:trPr>
          <w:trHeight w:val="10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3.1.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9,7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126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3.2.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9,6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 требуется </w:t>
            </w:r>
          </w:p>
        </w:tc>
      </w:tr>
      <w:tr>
        <w:trPr>
          <w:trHeight w:val="500" w:hRule="atLeast"/>
        </w:trPr>
        <w:tc>
          <w:tcPr>
            <w:gridSpan w:val="7"/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IV. Удовлетворенность качеством оказания услуг</w:t>
            </w:r>
          </w:p>
        </w:tc>
      </w:tr>
      <w:tr>
        <w:trPr>
          <w:trHeight w:val="10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4.1.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9,7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 </w:t>
            </w:r>
          </w:p>
        </w:tc>
      </w:tr>
      <w:tr>
        <w:trPr>
          <w:trHeight w:val="10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4.2.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Продолжить работу по укреплению и обновлению материально-техническому оснащению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 31.12.2018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Бюджетные и внебюджетные средства</w:t>
            </w:r>
          </w:p>
        </w:tc>
      </w:tr>
      <w:tr>
        <w:trPr>
          <w:trHeight w:val="1040" w:hRule="atLeast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4.3.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10,0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Продолжать вести всестороннюю работу по повышению качества оказываемых услуг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постоянно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Бюджетные и внебюджетные средства</w:t>
            </w:r>
          </w:p>
        </w:tc>
      </w:tr>
    </w:tbl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b w:val="1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06" w:w="16838"/>
      <w:pgMar w:bottom="0" w:top="851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ru-RU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